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白杨河乡2023年村级运转经费和服务群众工作经费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木垒县白杨河乡政府本级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木垒县白杨河乡政府本级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卢海霞</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了进一步夯实基层基础，促进村级（社区）组织依法有效履行职能，建立健全“资金稳定、管理规范、责任明晰、保障有力”的村级组织运转经费保障机制，文件明确列入规划的村级（社区）组织运转保障经费是为了保障村级（社区）组织正常开展日常工作设立的资金，使用范围主要包括为民服务经费、社区办公经费及其他必要支出，白杨河乡人民政府实施了村级运转经费和服务群众经费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项目资金主要用于2023年村级运转经费和服务群众经费项目工作经费支出，主要用于水费、电费、电话费、暖气费、办公用品费、维修费、劳务费、车辆保险费和车辆加油费等费用的支出。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自2023年01月开始，白杨河乡人民政府各社区工作人员已完成2023年村级运转经费和服务群众经费工作。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级运转经费和服务群众经费项目资金于2023年01月01木垒县财政局下发的木财预字【2023】1号文件安排资金为150万元，为本级财政资金，实际到位率100万元，资金到位率100%，实际执行99.99万元，执行率99.99%，资金落实到位。为确保项目资金的安全有效使用、安全运行，提高资金的使用效率，我镇严格按照白杨河乡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木财预字【2023】1号文件要求，白杨河乡计划使用村级运转经费和服务群众经费资金保障白杨河乡辖区5个村委会正常办公运转、服务各村群众改善社区集体工作、生活条件，巩固基层党组织政权，以保证基层单位</w:t>
      </w:r>
      <w:r>
        <w:rPr>
          <w:rStyle w:val="18"/>
          <w:rFonts w:hint="eastAsia" w:ascii="楷体" w:hAnsi="楷体" w:eastAsia="楷体"/>
          <w:b w:val="0"/>
          <w:bCs w:val="0"/>
          <w:spacing w:val="-4"/>
          <w:sz w:val="32"/>
          <w:szCs w:val="32"/>
          <w:lang w:eastAsia="zh-CN"/>
        </w:rPr>
        <w:t>更好地为</w:t>
      </w:r>
      <w:r>
        <w:rPr>
          <w:rStyle w:val="18"/>
          <w:rFonts w:hint="eastAsia" w:ascii="楷体" w:hAnsi="楷体" w:eastAsia="楷体"/>
          <w:b w:val="0"/>
          <w:bCs w:val="0"/>
          <w:spacing w:val="-4"/>
          <w:sz w:val="32"/>
          <w:szCs w:val="32"/>
        </w:rPr>
        <w:t>人民群众服务，为村委会提供办公经费补助，改善单位办公条件，使干部更好的开展日常工作。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2023年2月23日前完成村级运转经费和服务群众经费资金25万元，主要用于支付水费，电费，邮电费，办公用品费，维修费，劳务费等工作；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2023年6月10日前完成2023年月日前完成村级运转经费和服务群众经费资金25万元，主要用于支付水费，电费，邮电费，办公用品费，维修费，劳务费等工作；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2.3 2023年9月20日前完成2023年月日前完成村级运转经费和服务群众经费资金25万元，主要用于支付水费，电费，邮电费，办公用品费，维修费，劳务费等工作；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2.4 2023年12月2日前完成2023年月日前完成村级运转经费和服务群众经费资金25万元，主要用于支付水费，电费，邮电费，办公用品费，维修费，劳务费等工作。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2023年度本级财政下拨的村级运转经费和服务群众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村级运转经费和服务群众经费资金项目支出资金。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主要对村级运转经费和服务群众经费资金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本次绩效评价严格按照《财政部关于印发&lt;项目支出绩效评价管理办法&gt;的通知》（财预【2020】10号）等文件要求，按照科学合理的方式，综合分析考核项目的绩效情况。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（1）科学规范原则。坚持严格执行规定的程序，按照科学可行的要求，采用定量与定性分析相结合的方法。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（2）公正公开原则。坚持符合真实、客观、公正的要求，依法公开并接受监督。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（3）分级分类原则。坚持根据评价对象的特点分类组织实施。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本项目主要采用全面评价和重点评价相结合、现场评价和非现场评价相结合的方式，运用综合评分法进行评价。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财政支出绩效评价指标包括两大类，一类是定量指标，一类是定性指标。本次绩效评价采用“定量的指标体系的打分评价”+“定性的调查信息的归纳和提炼”，两种方式互相补充以构成对本次项目的完整评价。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 2024年2月10日，我单位在收到自评工作任务后及时组织了绩效评价工作小组，其中卢海霞为组长，主要负责工作安排，郭凯华为副组长，主要负责报告的审核、指导，边如意组员负责资料、数据整理，编制报告。小组制定了项目评价的工作思路及工作安排，参考学习了相关政策制度、实施方案和相关的工作文件，为评价工作的开展提供工作指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 2024年2月21日，评价组通过前期调研确定绩效评价对象和范围，确定了评价的目的、方法以及评价的原则；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 2024年2月22日，根据项目的实施内容和特征制定了评价指标体系及评价标准以及评价实施方案，修正并确定所需资料清单，最终确定绩效评价工作方案；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202年3月1日- 3月31日，评价工作进入实施阶段：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评价组收集绩效评价相关数据资料，进行现场调研、座谈；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2024年3月24日- 3月31日，评价组按照绩效评价的原则和规范，对取得的资料进行审查核实，对采集的数据进行分析，按照绩效评价指标评分表逐项进行打分、分析，汇总各方评价结果，综合分析并形成评价结论。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5.资料归档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评价小组对已完成的评价项目资料进行整理、封装，完善绩效评价工作底稿，并将资料整理成册后交档案室统一归档保存，以备后期查阅。</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白杨河乡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本项目通过制定的评价指标体系及评分标准，运用数据采集、问卷调查及访谈等方式，对本项目绩效进行客观评价，最终评分结果：总分为93分。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（二）相关评分表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各部分权重和绩效分值如下表所示：（详细评分表见附表）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hint="eastAsia" w:ascii="楷体" w:hAnsi="楷体" w:eastAsia="楷体"/>
          <w:b w:val="0"/>
          <w:bCs w:val="0"/>
          <w:spacing w:val="-4"/>
          <w:sz w:val="32"/>
          <w:szCs w:val="32"/>
        </w:rPr>
        <w:tab/>
        <w:t>项目决策</w:t>
      </w:r>
      <w:r>
        <w:rPr>
          <w:rStyle w:val="18"/>
          <w:rFonts w:hint="eastAsia" w:ascii="楷体" w:hAnsi="楷体" w:eastAsia="楷体"/>
          <w:b w:val="0"/>
          <w:bCs w:val="0"/>
          <w:spacing w:val="-4"/>
          <w:sz w:val="32"/>
          <w:szCs w:val="32"/>
        </w:rPr>
        <w:tab/>
        <w:t>项目过程</w:t>
      </w:r>
      <w:r>
        <w:rPr>
          <w:rStyle w:val="18"/>
          <w:rFonts w:hint="eastAsia" w:ascii="楷体" w:hAnsi="楷体" w:eastAsia="楷体"/>
          <w:b w:val="0"/>
          <w:bCs w:val="0"/>
          <w:spacing w:val="-4"/>
          <w:sz w:val="32"/>
          <w:szCs w:val="32"/>
        </w:rPr>
        <w:tab/>
        <w:t>项目产出</w:t>
      </w:r>
      <w:r>
        <w:rPr>
          <w:rStyle w:val="18"/>
          <w:rFonts w:hint="eastAsia" w:ascii="楷体" w:hAnsi="楷体" w:eastAsia="楷体"/>
          <w:b w:val="0"/>
          <w:bCs w:val="0"/>
          <w:spacing w:val="-4"/>
          <w:sz w:val="32"/>
          <w:szCs w:val="32"/>
        </w:rPr>
        <w:tab/>
        <w:t>项目效益</w:t>
      </w:r>
      <w:r>
        <w:rPr>
          <w:rStyle w:val="18"/>
          <w:rFonts w:hint="eastAsia" w:ascii="楷体" w:hAnsi="楷体" w:eastAsia="楷体"/>
          <w:b w:val="0"/>
          <w:bCs w:val="0"/>
          <w:spacing w:val="-4"/>
          <w:sz w:val="32"/>
          <w:szCs w:val="32"/>
        </w:rPr>
        <w:tab/>
        <w:t>合计分值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权重</w:t>
      </w:r>
      <w:r>
        <w:rPr>
          <w:rStyle w:val="18"/>
          <w:rFonts w:hint="eastAsia" w:ascii="楷体" w:hAnsi="楷体" w:eastAsia="楷体"/>
          <w:b w:val="0"/>
          <w:bCs w:val="0"/>
          <w:spacing w:val="-4"/>
          <w:sz w:val="32"/>
          <w:szCs w:val="32"/>
        </w:rPr>
        <w:tab/>
        <w:t>15</w:t>
      </w:r>
      <w:r>
        <w:rPr>
          <w:rStyle w:val="18"/>
          <w:rFonts w:hint="eastAsia" w:ascii="楷体" w:hAnsi="楷体" w:eastAsia="楷体"/>
          <w:b w:val="0"/>
          <w:bCs w:val="0"/>
          <w:spacing w:val="-4"/>
          <w:sz w:val="32"/>
          <w:szCs w:val="32"/>
        </w:rPr>
        <w:tab/>
        <w:t>15</w:t>
      </w:r>
      <w:r>
        <w:rPr>
          <w:rStyle w:val="18"/>
          <w:rFonts w:hint="eastAsia" w:ascii="楷体" w:hAnsi="楷体" w:eastAsia="楷体"/>
          <w:b w:val="0"/>
          <w:bCs w:val="0"/>
          <w:spacing w:val="-4"/>
          <w:sz w:val="32"/>
          <w:szCs w:val="32"/>
        </w:rPr>
        <w:tab/>
        <w:t>50</w:t>
      </w:r>
      <w:r>
        <w:rPr>
          <w:rStyle w:val="18"/>
          <w:rFonts w:hint="eastAsia" w:ascii="楷体" w:hAnsi="楷体" w:eastAsia="楷体"/>
          <w:b w:val="0"/>
          <w:bCs w:val="0"/>
          <w:spacing w:val="-4"/>
          <w:sz w:val="32"/>
          <w:szCs w:val="32"/>
        </w:rPr>
        <w:tab/>
        <w:t>20</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分值</w:t>
      </w:r>
      <w:r>
        <w:rPr>
          <w:rStyle w:val="18"/>
          <w:rFonts w:hint="eastAsia" w:ascii="楷体" w:hAnsi="楷体" w:eastAsia="楷体"/>
          <w:b w:val="0"/>
          <w:bCs w:val="0"/>
          <w:spacing w:val="-4"/>
          <w:sz w:val="32"/>
          <w:szCs w:val="32"/>
        </w:rPr>
        <w:tab/>
        <w:t>15</w:t>
      </w:r>
      <w:r>
        <w:rPr>
          <w:rStyle w:val="18"/>
          <w:rFonts w:hint="eastAsia" w:ascii="楷体" w:hAnsi="楷体" w:eastAsia="楷体"/>
          <w:b w:val="0"/>
          <w:bCs w:val="0"/>
          <w:spacing w:val="-4"/>
          <w:sz w:val="32"/>
          <w:szCs w:val="32"/>
        </w:rPr>
        <w:tab/>
        <w:t>14</w:t>
      </w:r>
      <w:r>
        <w:rPr>
          <w:rStyle w:val="18"/>
          <w:rFonts w:hint="eastAsia" w:ascii="楷体" w:hAnsi="楷体" w:eastAsia="楷体"/>
          <w:b w:val="0"/>
          <w:bCs w:val="0"/>
          <w:spacing w:val="-4"/>
          <w:sz w:val="32"/>
          <w:szCs w:val="32"/>
        </w:rPr>
        <w:tab/>
        <w:t>45</w:t>
      </w:r>
      <w:r>
        <w:rPr>
          <w:rStyle w:val="18"/>
          <w:rFonts w:hint="eastAsia" w:ascii="楷体" w:hAnsi="楷体" w:eastAsia="楷体"/>
          <w:b w:val="0"/>
          <w:bCs w:val="0"/>
          <w:spacing w:val="-4"/>
          <w:sz w:val="32"/>
          <w:szCs w:val="32"/>
        </w:rPr>
        <w:tab/>
        <w:t>20</w:t>
      </w:r>
      <w:r>
        <w:rPr>
          <w:rStyle w:val="18"/>
          <w:rFonts w:hint="eastAsia" w:ascii="楷体" w:hAnsi="楷体" w:eastAsia="楷体"/>
          <w:b w:val="0"/>
          <w:bCs w:val="0"/>
          <w:spacing w:val="-4"/>
          <w:sz w:val="32"/>
          <w:szCs w:val="32"/>
        </w:rPr>
        <w:tab/>
        <w:t>93</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（1）项目立项依据《木财预字【2023】1号》。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①项目立项程序：提报项目建议书、申请立项过程等均按照立项程序的相关规定进行；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②审批文件、材料：本项目审批文件有：《木财预字【2023】1号》，审批文件及材料齐全；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③项目事前工作：本项目已经过必要的可行性研究、专家论证、风险评估、绩效评估、集体决策。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村级运转经费和服务群众经费项目设立了项目绩效目标，与村级运转经费具有相关性，项目的预期产出效益和效果也均能符合正常的业绩水平，并且与预算确定的项目投资额或资金量相匹配。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级运转经费和服务群众经费项目将项目绩效目标细化分解为具体的绩效指标，一级指标共4条，二级指标共7条，三级指标共12条，其中量化指标条数共12条，所有绩效指标均通过清晰、可衡量的指标值予以体现，并且做到了与项目目标任务数或计划数相对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建设内容及工程量严格按照《建设工程工程量清单计价规范》（GB50500-2013）规定计算，项目预算编制根据项目建设内容进行计算，预算数经过会议及专家论证确定，预算内容与项目内容无偏差，预算额度测算依据充分，项目投资额与工作任务匹配性100%，不存在偏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本项目预算资金分配依据资金批复文件，项目资金分配额度无偏低或偏高情况，分配额度合理。项目单位为白杨河乡人民政府位于木垒县，资金分配与单位实际相适应。</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实际到位资金100万元，预算资金100万元，资金到位率100%。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年初预算数100万元，全年预算数100万元，全年执行数99.99万元，预算执行率为99.99%。</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3.1 资金使用符合、财务管理制度以及有关专项资金管理办法的规定；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3.2 资金的拨付严格按照白杨河乡人民政府单位资金拨付审批程序进行：由财政所提交财政局申请到财政局领导，经审批后提交到财政局科室。项目资金拨付手续齐全，资金拨付手续有：白杨河乡人民政府申请单。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3.3 本项目资金合同规定的用途为：建设社区运转经费、采购办公用品。符合项目预算批复及合同规定的用途；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3.4 项目资金截至2023年12月30日已拨付至100%，过程不存在截留、挤占、挪用、虚列支出等情况。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4.1 本项目已制定《木垒县白杨河乡人民政府项目财务管理制度》、《木垒县白杨河乡人民政府项目业务管理制度》，管理制度健全；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4.2 本项目财务及业务管理制度符合《中华人民共和国政府采购法》、《中华人民共和国会计法》等相关法律法规，财务和业务管理制度已经过财政局审批通过，确保了各项制度的合法合规性及完整性。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5.1 项目的审批、招标、建设、验收过程均遵守相关法律法规和相关管理规定；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5.2 本项目无调整情况；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5.3 项目合同书、验收报告、技术鉴定等资料齐全并已及时归档；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5.4 项目实施的人员条件、场地设备、信息支撑等均已落实到位。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村级运转经费和服务群众经费项目截止到2023年12月31日，已完成本项目已完成如下工作：完成使用村级运转经费和服务群众经费资金99.99万元，保障白杨河乡辖区5个村委会正常办公运转、服务各社区群众改善社区集体工作、生活条件，巩固基层党组织政权，以保证基层单位</w:t>
      </w:r>
      <w:r>
        <w:rPr>
          <w:rStyle w:val="18"/>
          <w:rFonts w:hint="eastAsia" w:ascii="楷体" w:hAnsi="楷体" w:eastAsia="楷体"/>
          <w:b w:val="0"/>
          <w:bCs w:val="0"/>
          <w:spacing w:val="-4"/>
          <w:sz w:val="32"/>
          <w:szCs w:val="32"/>
          <w:lang w:eastAsia="zh-CN"/>
        </w:rPr>
        <w:t>更好地为</w:t>
      </w:r>
      <w:r>
        <w:rPr>
          <w:rStyle w:val="18"/>
          <w:rFonts w:hint="eastAsia" w:ascii="楷体" w:hAnsi="楷体" w:eastAsia="楷体"/>
          <w:b w:val="0"/>
          <w:bCs w:val="0"/>
          <w:spacing w:val="-4"/>
          <w:sz w:val="32"/>
          <w:szCs w:val="32"/>
        </w:rPr>
        <w:t>人民群众服务2.为村委会提供办公经费补助，改善单位办公条件，使干部更好的开展日常工作。；其中：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1.项目完成数量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指标1：惠及村数量，指标值：≥5个，实际完成值5个 ，指标完成率100%，本条指标无偏差；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指标2：保障办公人员数量，指标值：≥27人，实际完成值27人 ，指标完成率100 %，本条指标无偏差。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2.项目完成质量：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指标1：村民纠纷处理率，指标值：=100%，实际完成值100%，指标完成率100%，本条指标无偏差。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指标2：资金拨付使用率，指标值：=100%，实际完成值100%，指标完成率100%，本条指标无偏差。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3.项目完成时效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指标1：村民纠纷处理及时率，指标值：=100%，实际完成值100%，指标完成率100%，本条指标无偏差；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指标2：公用经费支付及时率，指标值：=100%，实际完成值100%，指标完成率100%，本条指标无偏差。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4.项目完成成本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指标1：预算控制率，指标值：≤100%，实际完成值100%，指标完成率100%，本条指标无偏差；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指标2：每村办公用经费及服务群众专项经费数，指标值：≤30万元，实际完成值19.99万元，指标完成率66.63%，本条指标偏差原因：资金手续缓慢，暂未拨付。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指标3：村民投诉率，指标值：=0%，实际完成值0%，指标完成率100%，本条指标无偏差。</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我单位村级运转经费项目截止到2023年12月31日，已完成项目实施的社会效益分析；其中：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2.项目实施的社会效益分析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w:t>
      </w:r>
      <w:r>
        <w:rPr>
          <w:rStyle w:val="18"/>
          <w:rFonts w:hint="eastAsia" w:ascii="楷体" w:hAnsi="楷体" w:eastAsia="楷体"/>
          <w:b w:val="0"/>
          <w:bCs w:val="0"/>
          <w:spacing w:val="-4"/>
          <w:sz w:val="32"/>
          <w:szCs w:val="32"/>
        </w:rPr>
        <w:tab/>
        <w:t>村委会工作正常运转率，指标值：=100%，实际完成值100%，本条指标无偏差。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指标2：受益村民人数，指标值：≥1800人，实际完成值1800人，本条指标无偏差。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（五）满意度指标完成情况分析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指标1：村民满意度，指标值：≥90%，实际完成值90%，指标完成率100%，本条指标无偏差。</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根据村级运转经费项目合同内容及工程进度，白杨河乡人民政府于2023年2月23日拨付25万元、白杨河乡人民政府于2023年6月10日拨付25万元、白杨河乡人民政府于2023年9月20日拨付25万元、白杨河乡人民政府于2023年2月23日拨付24.99万元。截至2023年12月2日已执行99.99万元，预算执行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本项目绩效指标存在偏差：每村办公用经费及服务群众专项经费数指标，指标值：≤30万元，实际完成值19.99万元，指标完成率66.63%，本条指标偏差原因：资金手续缓慢，暂未拨付。</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（1）是领导高度重视。专项资金预算下拨后，主要领导和分管领导高度重视，落实责任分工，确保项目顺利进行。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（二）后续工作计划</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我们将进一步加强资金管理、项目管理，用制度、用规范来有效提高经费进度，专人负责资金，确保该项目在既定时间内完成所有工程量，达到预期效果。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1.存在的问题：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项目实施前期已根据项目建设内容设置绩效目标，但项目绩效目标级绩效指标设置过于笼统，不够细化，在实际实施绩效监控和绩效评价时较为困难。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2.改进措施：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（1）科学编制预算，提高预算与目标匹配度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科学的预算编制应该保证预算和目标在质和量上相匹配，即一方面预算应该根据目标来编制，保证每一个目标的实现均有相应的预算安排，另一方面应在合理测算工作量的基础上保证预算编制的准确性。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2.健全制度，加强督促。针对项目实施中存在的问题，进一步完善相关制度，加强督促检查，确保质量安全和建设进度；同时及时完善资料，妥善保管档案。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1.本次预算绩效评价所采集的数据因为采集时间、数据来源等诸多因素的影响，可能会出现一定的偏差，进而对评价结果存在影响。</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2982053D"/>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2025-04-22T10:26:13Z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C734C92AAAF24344A0E4232D8EB3359B</vt:lpwstr>
  </property>
</Properties>
</file>